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1C" w:rsidRDefault="008A6220" w:rsidP="00CF4B02">
      <w:pPr>
        <w:snapToGrid w:val="0"/>
        <w:spacing w:before="120" w:after="120" w:line="30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Liveability for </w:t>
      </w:r>
      <w:r>
        <w:rPr>
          <w:rFonts w:ascii="Arial" w:hAnsi="Arial" w:cs="Arial" w:hint="eastAsia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oung </w:t>
      </w:r>
      <w:r>
        <w:rPr>
          <w:rFonts w:ascii="Arial" w:hAnsi="Arial" w:cs="Arial" w:hint="eastAsia"/>
          <w:b/>
          <w:sz w:val="32"/>
          <w:szCs w:val="32"/>
        </w:rPr>
        <w:t>p</w:t>
      </w:r>
      <w:r w:rsidR="0090654D">
        <w:rPr>
          <w:rFonts w:ascii="Arial" w:hAnsi="Arial" w:cs="Arial"/>
          <w:b/>
          <w:sz w:val="32"/>
          <w:szCs w:val="32"/>
        </w:rPr>
        <w:t>eople</w:t>
      </w:r>
    </w:p>
    <w:p w:rsidR="00127C1D" w:rsidRDefault="00127C1D" w:rsidP="00200C11">
      <w:pPr>
        <w:snapToGrid w:val="0"/>
        <w:spacing w:before="120"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Deciding on the liveability of a place can often depend on what criteria are used to determine liveability. Liveability decisions can also vary depending on </w:t>
      </w:r>
      <w:r w:rsidR="002D1F88">
        <w:rPr>
          <w:rFonts w:ascii="Arial" w:hAnsi="Arial" w:cs="Arial"/>
        </w:rPr>
        <w:t>whose view is being expressed</w:t>
      </w:r>
      <w:r>
        <w:rPr>
          <w:rFonts w:ascii="Arial" w:hAnsi="Arial" w:cs="Arial"/>
        </w:rPr>
        <w:t>.</w:t>
      </w:r>
    </w:p>
    <w:p w:rsidR="00127313" w:rsidRDefault="00127C1D" w:rsidP="00CF4B02">
      <w:pPr>
        <w:pStyle w:val="ListParagraph"/>
        <w:numPr>
          <w:ilvl w:val="0"/>
          <w:numId w:val="7"/>
        </w:numPr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Review your list from an earlier lesson of what you like about the place where you live. Do you think your parents or grandparents would have the same list? Why?</w:t>
      </w:r>
      <w:r w:rsidRPr="00127C1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F4B02" w:rsidRPr="00565118" w:rsidTr="00CF4B02">
        <w:tc>
          <w:tcPr>
            <w:tcW w:w="8930" w:type="dxa"/>
            <w:tcBorders>
              <w:top w:val="nil"/>
            </w:tcBorders>
          </w:tcPr>
          <w:p w:rsidR="00CF4B02" w:rsidRPr="00565118" w:rsidRDefault="007E10E2" w:rsidP="007E10E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think my parents would agree with me on some places but for my grandparents I think they wou</w:t>
            </w:r>
            <w:r w:rsidR="00731663">
              <w:rPr>
                <w:rFonts w:ascii="Arial" w:hAnsi="Arial" w:cs="Arial"/>
              </w:rPr>
              <w:t>ld only agree with me on one ci</w:t>
            </w:r>
            <w:r>
              <w:rPr>
                <w:rFonts w:ascii="Arial" w:hAnsi="Arial" w:cs="Arial"/>
              </w:rPr>
              <w:t>ty and that is Da Nang</w:t>
            </w:r>
            <w:r w:rsidR="00731663">
              <w:rPr>
                <w:rFonts w:ascii="Arial" w:hAnsi="Arial" w:cs="Arial"/>
              </w:rPr>
              <w:t>.</w:t>
            </w:r>
          </w:p>
        </w:tc>
      </w:tr>
      <w:tr w:rsidR="00CF4B02" w:rsidRPr="00565118" w:rsidTr="00CF4B02">
        <w:tc>
          <w:tcPr>
            <w:tcW w:w="8930" w:type="dxa"/>
          </w:tcPr>
          <w:p w:rsidR="00CF4B02" w:rsidRPr="00565118" w:rsidRDefault="00CF4B02" w:rsidP="005202B6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</w:tbl>
    <w:p w:rsidR="00E93244" w:rsidRDefault="00E93244" w:rsidP="00E93244">
      <w:pPr>
        <w:pStyle w:val="ListParagraph"/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</w:p>
    <w:p w:rsidR="00127313" w:rsidRDefault="00127313" w:rsidP="00200C11">
      <w:pPr>
        <w:pStyle w:val="ListParagraph"/>
        <w:numPr>
          <w:ilvl w:val="0"/>
          <w:numId w:val="7"/>
        </w:numPr>
        <w:snapToGrid w:val="0"/>
        <w:spacing w:before="120" w:after="240" w:line="300" w:lineRule="atLeas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Place a tick in the right column below to indicate the criteria you think would be used in a survey of young people to decide the most liveable city.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  <w:gridCol w:w="992"/>
      </w:tblGrid>
      <w:tr w:rsidR="00127313" w:rsidTr="00E70630">
        <w:tc>
          <w:tcPr>
            <w:tcW w:w="7938" w:type="dxa"/>
            <w:shd w:val="clear" w:color="auto" w:fill="FDE9D9" w:themeFill="accent6" w:themeFillTint="33"/>
          </w:tcPr>
          <w:p w:rsidR="00127313" w:rsidRDefault="00127313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27313" w:rsidRPr="00D55B02" w:rsidRDefault="00390A8F" w:rsidP="00E70630">
            <w:pPr>
              <w:snapToGrid w:val="0"/>
              <w:spacing w:before="120" w:after="120" w:line="3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FF29D6" w:rsidTr="00E70630">
        <w:trPr>
          <w:trHeight w:val="113"/>
        </w:trPr>
        <w:tc>
          <w:tcPr>
            <w:tcW w:w="7938" w:type="dxa"/>
          </w:tcPr>
          <w:p w:rsidR="00FF29D6" w:rsidRDefault="00FF29D6" w:rsidP="00E70630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libraries</w:t>
            </w:r>
          </w:p>
        </w:tc>
        <w:tc>
          <w:tcPr>
            <w:tcW w:w="992" w:type="dxa"/>
          </w:tcPr>
          <w:p w:rsidR="00FF29D6" w:rsidRDefault="00390A8F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aged care facilities</w:t>
            </w:r>
          </w:p>
        </w:tc>
        <w:tc>
          <w:tcPr>
            <w:tcW w:w="992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access</w:t>
            </w:r>
          </w:p>
        </w:tc>
        <w:tc>
          <w:tcPr>
            <w:tcW w:w="992" w:type="dxa"/>
          </w:tcPr>
          <w:p w:rsidR="00FF29D6" w:rsidRDefault="00731663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film venues</w:t>
            </w:r>
          </w:p>
        </w:tc>
        <w:tc>
          <w:tcPr>
            <w:tcW w:w="992" w:type="dxa"/>
          </w:tcPr>
          <w:p w:rsidR="00FF29D6" w:rsidRDefault="00390A8F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employment opportunities</w:t>
            </w:r>
          </w:p>
        </w:tc>
        <w:tc>
          <w:tcPr>
            <w:tcW w:w="992" w:type="dxa"/>
          </w:tcPr>
          <w:p w:rsidR="00FF29D6" w:rsidRDefault="00731663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Restaurants and night clubs</w:t>
            </w:r>
          </w:p>
        </w:tc>
        <w:tc>
          <w:tcPr>
            <w:tcW w:w="992" w:type="dxa"/>
          </w:tcPr>
          <w:p w:rsidR="00FF29D6" w:rsidRDefault="009D7E73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bookmarkStart w:id="0" w:name="_GoBack"/>
            <w:bookmarkEnd w:id="0"/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transport</w:t>
            </w:r>
          </w:p>
        </w:tc>
        <w:tc>
          <w:tcPr>
            <w:tcW w:w="992" w:type="dxa"/>
          </w:tcPr>
          <w:p w:rsidR="00FF29D6" w:rsidRDefault="00390A8F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safe environment</w:t>
            </w:r>
          </w:p>
        </w:tc>
        <w:tc>
          <w:tcPr>
            <w:tcW w:w="992" w:type="dxa"/>
          </w:tcPr>
          <w:p w:rsidR="00FF29D6" w:rsidRDefault="00390A8F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centres</w:t>
            </w:r>
          </w:p>
        </w:tc>
        <w:tc>
          <w:tcPr>
            <w:tcW w:w="992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community centres</w:t>
            </w:r>
          </w:p>
        </w:tc>
        <w:tc>
          <w:tcPr>
            <w:tcW w:w="992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Hospitals with advanced heart medical facilities</w:t>
            </w:r>
          </w:p>
        </w:tc>
        <w:tc>
          <w:tcPr>
            <w:tcW w:w="992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in-home nursing care</w:t>
            </w:r>
          </w:p>
        </w:tc>
        <w:tc>
          <w:tcPr>
            <w:tcW w:w="992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Sporting venues</w:t>
            </w:r>
          </w:p>
        </w:tc>
        <w:tc>
          <w:tcPr>
            <w:tcW w:w="992" w:type="dxa"/>
          </w:tcPr>
          <w:p w:rsidR="00FF29D6" w:rsidRDefault="00390A8F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9D6" w:rsidTr="00E70630">
        <w:trPr>
          <w:trHeight w:val="170"/>
        </w:trPr>
        <w:tc>
          <w:tcPr>
            <w:tcW w:w="7938" w:type="dxa"/>
          </w:tcPr>
          <w:p w:rsidR="00FF29D6" w:rsidRDefault="00FF29D6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</w:t>
            </w:r>
          </w:p>
        </w:tc>
        <w:tc>
          <w:tcPr>
            <w:tcW w:w="992" w:type="dxa"/>
          </w:tcPr>
          <w:p w:rsidR="00FF29D6" w:rsidRDefault="00390A8F" w:rsidP="00CF4B02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200C11" w:rsidRDefault="00200C11" w:rsidP="00CF4B02">
      <w:pPr>
        <w:snapToGrid w:val="0"/>
        <w:spacing w:before="120"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3D5D" w:rsidRPr="00BB6308" w:rsidRDefault="00B53D5D" w:rsidP="00200C11">
      <w:pPr>
        <w:snapToGrid w:val="0"/>
        <w:spacing w:before="120" w:after="240" w:line="300" w:lineRule="atLeast"/>
        <w:rPr>
          <w:rFonts w:ascii="Arial" w:hAnsi="Arial" w:cs="Arial"/>
        </w:rPr>
      </w:pPr>
      <w:r w:rsidRPr="00BB6308">
        <w:rPr>
          <w:rFonts w:ascii="Arial" w:hAnsi="Arial" w:cs="Arial"/>
        </w:rPr>
        <w:lastRenderedPageBreak/>
        <w:t xml:space="preserve">A recent survey of young people, the </w:t>
      </w:r>
      <w:r w:rsidRPr="00BB6308">
        <w:rPr>
          <w:rFonts w:ascii="Arial" w:hAnsi="Arial" w:cs="Arial"/>
          <w:b/>
          <w:i/>
        </w:rPr>
        <w:t>Youthful Cities Index</w:t>
      </w:r>
      <w:r w:rsidR="00FF29D6">
        <w:rPr>
          <w:rFonts w:ascii="Arial" w:hAnsi="Arial" w:cs="Arial"/>
        </w:rPr>
        <w:t>,</w:t>
      </w:r>
      <w:r w:rsidRPr="00BB6308">
        <w:rPr>
          <w:rFonts w:ascii="Arial" w:hAnsi="Arial" w:cs="Arial"/>
          <w:b/>
        </w:rPr>
        <w:t xml:space="preserve"> </w:t>
      </w:r>
      <w:r w:rsidRPr="00BB6308">
        <w:rPr>
          <w:rFonts w:ascii="Arial" w:hAnsi="Arial" w:cs="Arial"/>
        </w:rPr>
        <w:t xml:space="preserve">used the ages 15 to 29 </w:t>
      </w:r>
      <w:r w:rsidR="00C9425A">
        <w:rPr>
          <w:rFonts w:ascii="Arial" w:hAnsi="Arial" w:cs="Arial"/>
        </w:rPr>
        <w:t>as</w:t>
      </w:r>
      <w:r w:rsidRPr="00BB6308">
        <w:rPr>
          <w:rFonts w:ascii="Arial" w:hAnsi="Arial" w:cs="Arial"/>
        </w:rPr>
        <w:t xml:space="preserve"> its definition of ‘</w:t>
      </w:r>
      <w:r w:rsidRPr="00BB6308">
        <w:rPr>
          <w:rFonts w:ascii="Arial" w:hAnsi="Arial" w:cs="Arial"/>
          <w:i/>
          <w:iCs/>
        </w:rPr>
        <w:t>young people</w:t>
      </w:r>
      <w:r w:rsidRPr="00BB6308">
        <w:rPr>
          <w:rFonts w:ascii="Arial" w:hAnsi="Arial" w:cs="Arial"/>
        </w:rPr>
        <w:t xml:space="preserve">’. Other surveys treat ‘young’ people as people in their 20s and 30s. The </w:t>
      </w:r>
      <w:r w:rsidRPr="00BB6308">
        <w:rPr>
          <w:rFonts w:ascii="Arial" w:hAnsi="Arial" w:cs="Arial"/>
          <w:b/>
          <w:i/>
        </w:rPr>
        <w:t>Youthful Cities Index</w:t>
      </w:r>
      <w:r w:rsidRPr="00BB6308">
        <w:rPr>
          <w:rFonts w:ascii="Arial" w:hAnsi="Arial" w:cs="Arial"/>
        </w:rPr>
        <w:t xml:space="preserve"> gathered its data by conducting an online survey of 1500 people which required them to tick boxes to respond to various questions. The </w:t>
      </w:r>
      <w:r w:rsidRPr="00BB6308">
        <w:rPr>
          <w:rFonts w:ascii="Arial" w:hAnsi="Arial" w:cs="Arial"/>
          <w:b/>
          <w:i/>
        </w:rPr>
        <w:t>Youthful Cities Index</w:t>
      </w:r>
      <w:r w:rsidRPr="00BB6308">
        <w:rPr>
          <w:rFonts w:ascii="Arial" w:hAnsi="Arial" w:cs="Arial"/>
        </w:rPr>
        <w:t xml:space="preserve"> rated Toronto in Canada as the most liveable</w:t>
      </w:r>
      <w:r>
        <w:rPr>
          <w:rFonts w:ascii="Arial" w:hAnsi="Arial" w:cs="Arial"/>
        </w:rPr>
        <w:t xml:space="preserve"> city for young people in 2013. </w:t>
      </w:r>
      <w:r w:rsidRPr="00BB6308">
        <w:rPr>
          <w:rFonts w:ascii="Arial" w:hAnsi="Arial" w:cs="Arial"/>
        </w:rPr>
        <w:t xml:space="preserve">25 cities were compared using 80 indicators across 16 categories, covering everything from diversity and civic participation to transportation, affordability, employment, entrepreneurship and environmental sustainability. </w:t>
      </w:r>
    </w:p>
    <w:p w:rsidR="00B53D5D" w:rsidRPr="00BB6308" w:rsidRDefault="00B53D5D" w:rsidP="00200C11">
      <w:pPr>
        <w:snapToGrid w:val="0"/>
        <w:spacing w:before="120" w:after="240" w:line="300" w:lineRule="atLeast"/>
        <w:rPr>
          <w:rFonts w:ascii="Arial" w:hAnsi="Arial" w:cs="Arial"/>
          <w:b/>
        </w:rPr>
      </w:pPr>
      <w:r w:rsidRPr="00BB6308">
        <w:rPr>
          <w:rFonts w:ascii="Arial" w:hAnsi="Arial" w:cs="Arial"/>
        </w:rPr>
        <w:t xml:space="preserve">Another survey, </w:t>
      </w:r>
      <w:r w:rsidRPr="00BB6308">
        <w:rPr>
          <w:rFonts w:ascii="Arial" w:hAnsi="Arial" w:cs="Arial"/>
          <w:b/>
          <w:i/>
        </w:rPr>
        <w:t>list25,</w:t>
      </w:r>
      <w:r w:rsidRPr="00BB6308">
        <w:rPr>
          <w:rFonts w:ascii="Arial" w:hAnsi="Arial" w:cs="Arial"/>
        </w:rPr>
        <w:t xml:space="preserve"> rated Vienna, in Austria, the most liveable city for young people in 2013. The reasons given for this choice included its history, culture, economy and environment</w:t>
      </w:r>
      <w:r>
        <w:rPr>
          <w:rFonts w:ascii="Arial" w:hAnsi="Arial" w:cs="Arial"/>
        </w:rPr>
        <w:t>,</w:t>
      </w:r>
      <w:r w:rsidRPr="00BB6308">
        <w:rPr>
          <w:rFonts w:ascii="Arial" w:hAnsi="Arial" w:cs="Arial"/>
        </w:rPr>
        <w:t xml:space="preserve"> and that it was rated highest because it has been regarded as the most liveable city in the world by a number of other surveys.</w:t>
      </w:r>
    </w:p>
    <w:p w:rsidR="00B53D5D" w:rsidRPr="00B53D5D" w:rsidRDefault="00B53D5D" w:rsidP="00CF4B02">
      <w:pPr>
        <w:snapToGrid w:val="0"/>
        <w:spacing w:before="120" w:after="120" w:line="300" w:lineRule="atLeast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B53D5D">
        <w:rPr>
          <w:rFonts w:ascii="Arial" w:eastAsia="Times New Roman" w:hAnsi="Arial" w:cs="Arial"/>
          <w:color w:val="222222"/>
          <w:kern w:val="36"/>
          <w:sz w:val="16"/>
          <w:szCs w:val="16"/>
        </w:rPr>
        <w:t xml:space="preserve">References:  The Independent (2013) </w:t>
      </w:r>
      <w:r w:rsidRPr="00B53D5D">
        <w:rPr>
          <w:rFonts w:ascii="Arial" w:eastAsia="Times New Roman" w:hAnsi="Arial" w:cs="Arial"/>
          <w:i/>
          <w:color w:val="222222"/>
          <w:kern w:val="36"/>
          <w:sz w:val="16"/>
          <w:szCs w:val="16"/>
        </w:rPr>
        <w:t>The 10 most youthful cities in the world</w:t>
      </w:r>
      <w:r w:rsidRPr="00B53D5D">
        <w:rPr>
          <w:rFonts w:ascii="Arial" w:eastAsia="Times New Roman" w:hAnsi="Arial" w:cs="Arial"/>
          <w:color w:val="222222"/>
          <w:kern w:val="36"/>
          <w:sz w:val="16"/>
          <w:szCs w:val="16"/>
        </w:rPr>
        <w:t xml:space="preserve"> </w:t>
      </w:r>
      <w:r w:rsidRPr="00B53D5D">
        <w:rPr>
          <w:rFonts w:ascii="Arial" w:eastAsia="Times New Roman" w:hAnsi="Arial" w:cs="Arial"/>
          <w:color w:val="A6A6A6" w:themeColor="background1" w:themeShade="A6"/>
          <w:kern w:val="36"/>
          <w:sz w:val="16"/>
          <w:szCs w:val="16"/>
        </w:rPr>
        <w:t>http://www.independent.co.uk/news/world/the-10-most-youthful-cities-in-the-world-8962432.html</w:t>
      </w:r>
      <w:r w:rsidRPr="00B53D5D">
        <w:rPr>
          <w:rFonts w:ascii="Arial" w:eastAsia="Times New Roman" w:hAnsi="Arial" w:cs="Arial"/>
          <w:color w:val="222222"/>
          <w:kern w:val="36"/>
          <w:sz w:val="16"/>
          <w:szCs w:val="16"/>
        </w:rPr>
        <w:t xml:space="preserve">; </w:t>
      </w:r>
      <w:r w:rsidRPr="00B53D5D">
        <w:rPr>
          <w:rFonts w:ascii="Arial" w:eastAsia="Times New Roman" w:hAnsi="Arial" w:cs="Arial"/>
          <w:color w:val="222222"/>
          <w:kern w:val="36"/>
          <w:sz w:val="16"/>
          <w:szCs w:val="16"/>
          <w:lang w:val="en"/>
        </w:rPr>
        <w:t xml:space="preserve">list25 (2013) - 25 Best Cities For Young People To Live In (2013) </w:t>
      </w:r>
      <w:r w:rsidRPr="00B53D5D">
        <w:rPr>
          <w:rFonts w:ascii="Arial" w:hAnsi="Arial" w:cs="Arial"/>
          <w:color w:val="A6A6A6" w:themeColor="background1" w:themeShade="A6"/>
          <w:kern w:val="36"/>
          <w:sz w:val="16"/>
          <w:szCs w:val="16"/>
          <w:lang w:val="en"/>
        </w:rPr>
        <w:t>http://list25.com/25-best-cities-for-young-people-to-live-in/?view=all</w:t>
      </w:r>
      <w:r w:rsidRPr="00B53D5D">
        <w:rPr>
          <w:rStyle w:val="Hyperlink"/>
          <w:rFonts w:ascii="Arial" w:hAnsi="Arial" w:cs="Arial"/>
          <w:kern w:val="36"/>
          <w:sz w:val="16"/>
          <w:szCs w:val="16"/>
          <w:u w:val="none"/>
          <w:lang w:val="en"/>
        </w:rPr>
        <w:t xml:space="preserve">; </w:t>
      </w:r>
      <w:r w:rsidRPr="00B53D5D">
        <w:rPr>
          <w:rFonts w:ascii="Arial" w:eastAsia="Times New Roman" w:hAnsi="Arial" w:cs="Arial"/>
          <w:color w:val="222222"/>
          <w:kern w:val="36"/>
          <w:sz w:val="16"/>
          <w:szCs w:val="16"/>
          <w:lang w:val="en"/>
        </w:rPr>
        <w:t xml:space="preserve">CNBC (2014) </w:t>
      </w:r>
      <w:proofErr w:type="gramStart"/>
      <w:r w:rsidRPr="00B53D5D">
        <w:rPr>
          <w:rFonts w:ascii="Arial" w:eastAsia="Times New Roman" w:hAnsi="Arial" w:cs="Arial"/>
          <w:i/>
          <w:color w:val="222222"/>
          <w:kern w:val="36"/>
          <w:sz w:val="16"/>
          <w:szCs w:val="16"/>
          <w:lang w:val="en"/>
        </w:rPr>
        <w:t>The</w:t>
      </w:r>
      <w:proofErr w:type="gramEnd"/>
      <w:r w:rsidRPr="00B53D5D">
        <w:rPr>
          <w:rFonts w:ascii="Arial" w:eastAsia="Times New Roman" w:hAnsi="Arial" w:cs="Arial"/>
          <w:i/>
          <w:color w:val="222222"/>
          <w:kern w:val="36"/>
          <w:sz w:val="16"/>
          <w:szCs w:val="16"/>
          <w:lang w:val="en"/>
        </w:rPr>
        <w:t xml:space="preserve"> world’s best cities for young people</w:t>
      </w:r>
      <w:r w:rsidRPr="00B53D5D">
        <w:rPr>
          <w:rFonts w:ascii="Arial" w:eastAsia="Times New Roman" w:hAnsi="Arial" w:cs="Arial"/>
          <w:color w:val="222222"/>
          <w:kern w:val="36"/>
          <w:sz w:val="16"/>
          <w:szCs w:val="16"/>
          <w:lang w:val="en"/>
        </w:rPr>
        <w:t xml:space="preserve"> </w:t>
      </w:r>
      <w:r w:rsidRPr="00B53D5D">
        <w:rPr>
          <w:rFonts w:ascii="Arial" w:eastAsia="Times New Roman" w:hAnsi="Arial" w:cs="Arial"/>
          <w:color w:val="A6A6A6" w:themeColor="background1" w:themeShade="A6"/>
          <w:kern w:val="36"/>
          <w:sz w:val="16"/>
          <w:szCs w:val="16"/>
          <w:lang w:val="en"/>
        </w:rPr>
        <w:t>http://www.cnbc.com/id/101275963#</w:t>
      </w:r>
    </w:p>
    <w:p w:rsidR="00B53D5D" w:rsidRDefault="00B53D5D" w:rsidP="00CF4B02">
      <w:pPr>
        <w:pStyle w:val="ListParagraph"/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</w:p>
    <w:p w:rsidR="0090654D" w:rsidRPr="00E93244" w:rsidRDefault="00FF29D6" w:rsidP="00200C11">
      <w:pPr>
        <w:pStyle w:val="ListParagraph"/>
        <w:numPr>
          <w:ilvl w:val="0"/>
          <w:numId w:val="7"/>
        </w:numPr>
        <w:snapToGrid w:val="0"/>
        <w:spacing w:before="120" w:after="0" w:line="300" w:lineRule="atLeast"/>
        <w:contextualSpacing w:val="0"/>
        <w:rPr>
          <w:rFonts w:ascii="Arial" w:hAnsi="Arial" w:cs="Arial"/>
        </w:rPr>
      </w:pPr>
      <w:r w:rsidRPr="00B60024">
        <w:rPr>
          <w:rFonts w:ascii="Arial" w:hAnsi="Arial" w:cs="Arial"/>
        </w:rPr>
        <w:t xml:space="preserve">Why might you expect the results or conclusions from surveys of people aged in their 20s and 30s to be different from those of people aged 15 to 29? </w:t>
      </w: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93244" w:rsidRPr="00565118" w:rsidTr="00E93244">
        <w:tc>
          <w:tcPr>
            <w:tcW w:w="8930" w:type="dxa"/>
            <w:tcBorders>
              <w:top w:val="nil"/>
            </w:tcBorders>
          </w:tcPr>
          <w:p w:rsidR="00E93244" w:rsidRPr="00565118" w:rsidRDefault="00692478" w:rsidP="00200C11">
            <w:pPr>
              <w:snapToGrid w:val="0"/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tend to work from the age 24 so they will have more </w:t>
            </w:r>
            <w:r w:rsidR="00731663">
              <w:rPr>
                <w:rFonts w:ascii="Arial" w:hAnsi="Arial" w:cs="Arial"/>
              </w:rPr>
              <w:t xml:space="preserve">money so they don’t have to worry about money as much as people aged 15 to 29. Also, if they have more money they could do things that </w:t>
            </w:r>
            <w:r w:rsidR="00056496">
              <w:rPr>
                <w:rFonts w:ascii="Arial" w:hAnsi="Arial" w:cs="Arial"/>
              </w:rPr>
              <w:t>people aged 15 to 29 wouldn’t do that costs more money.</w:t>
            </w:r>
          </w:p>
        </w:tc>
      </w:tr>
      <w:tr w:rsidR="00E93244" w:rsidRPr="00565118" w:rsidTr="00E93244">
        <w:tc>
          <w:tcPr>
            <w:tcW w:w="8930" w:type="dxa"/>
          </w:tcPr>
          <w:p w:rsidR="00E93244" w:rsidRPr="00565118" w:rsidRDefault="00E93244" w:rsidP="005202B6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E93244" w:rsidRPr="00565118" w:rsidTr="00E93244">
        <w:tc>
          <w:tcPr>
            <w:tcW w:w="8930" w:type="dxa"/>
          </w:tcPr>
          <w:p w:rsidR="00E93244" w:rsidRPr="00565118" w:rsidRDefault="00E93244" w:rsidP="005202B6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</w:tbl>
    <w:p w:rsidR="00E93244" w:rsidRPr="00FF29D6" w:rsidRDefault="00E93244" w:rsidP="00E93244">
      <w:pPr>
        <w:pStyle w:val="ListParagraph"/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</w:p>
    <w:p w:rsidR="00FF29D6" w:rsidRPr="00B60024" w:rsidRDefault="00FF29D6" w:rsidP="00200C11">
      <w:pPr>
        <w:pStyle w:val="ListParagraph"/>
        <w:numPr>
          <w:ilvl w:val="0"/>
          <w:numId w:val="7"/>
        </w:numPr>
        <w:snapToGrid w:val="0"/>
        <w:spacing w:before="120" w:after="240" w:line="300" w:lineRule="atLeast"/>
        <w:contextualSpacing w:val="0"/>
        <w:rPr>
          <w:rFonts w:ascii="Arial" w:hAnsi="Arial" w:cs="Arial"/>
        </w:rPr>
      </w:pPr>
      <w:r w:rsidRPr="00B60024">
        <w:rPr>
          <w:rFonts w:ascii="Arial" w:hAnsi="Arial" w:cs="Arial"/>
        </w:rPr>
        <w:t xml:space="preserve">Which of these statements about the </w:t>
      </w:r>
      <w:r w:rsidRPr="00B60024">
        <w:rPr>
          <w:rFonts w:ascii="Arial" w:hAnsi="Arial" w:cs="Arial"/>
          <w:b/>
          <w:i/>
        </w:rPr>
        <w:t>Youthful Cities</w:t>
      </w:r>
      <w:r w:rsidRPr="00B60024">
        <w:rPr>
          <w:rFonts w:ascii="Arial" w:hAnsi="Arial" w:cs="Arial"/>
        </w:rPr>
        <w:t xml:space="preserve"> survey of 25 cities and 1500 people would you agree with if you were judging the reliability of this survey?</w:t>
      </w:r>
      <w:r w:rsidRPr="00B60024">
        <w:rPr>
          <w:rFonts w:ascii="Arial" w:hAnsi="Arial" w:cs="Arial"/>
          <w:b/>
        </w:rPr>
        <w:t xml:space="preserve"> </w:t>
      </w:r>
    </w:p>
    <w:p w:rsidR="00FF29D6" w:rsidRPr="00B60024" w:rsidRDefault="00FF29D6" w:rsidP="00CF4B02">
      <w:pPr>
        <w:pStyle w:val="ListParagraph"/>
        <w:numPr>
          <w:ilvl w:val="0"/>
          <w:numId w:val="11"/>
        </w:numPr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  <w:r w:rsidRPr="00B60024">
        <w:rPr>
          <w:rFonts w:ascii="Arial" w:hAnsi="Arial" w:cs="Arial"/>
        </w:rPr>
        <w:t>There are too many cities in the survey to be a good indication of young people’s views.</w:t>
      </w:r>
    </w:p>
    <w:p w:rsidR="00FF29D6" w:rsidRPr="00056496" w:rsidRDefault="00FF29D6" w:rsidP="00CF4B02">
      <w:pPr>
        <w:pStyle w:val="ListParagraph"/>
        <w:numPr>
          <w:ilvl w:val="0"/>
          <w:numId w:val="11"/>
        </w:numPr>
        <w:snapToGrid w:val="0"/>
        <w:spacing w:before="120" w:after="120" w:line="300" w:lineRule="atLeast"/>
        <w:contextualSpacing w:val="0"/>
        <w:rPr>
          <w:rFonts w:ascii="Arial" w:hAnsi="Arial" w:cs="Arial"/>
          <w:highlight w:val="yellow"/>
        </w:rPr>
      </w:pPr>
      <w:r w:rsidRPr="00056496">
        <w:rPr>
          <w:rFonts w:ascii="Arial" w:hAnsi="Arial" w:cs="Arial"/>
          <w:highlight w:val="yellow"/>
        </w:rPr>
        <w:t>Choosing only 25 cities to survey limits the views of young people regarding the liveability of cities worldwide.</w:t>
      </w:r>
    </w:p>
    <w:p w:rsidR="00FF29D6" w:rsidRPr="00056496" w:rsidRDefault="00FF29D6" w:rsidP="00CF4B02">
      <w:pPr>
        <w:pStyle w:val="ListParagraph"/>
        <w:numPr>
          <w:ilvl w:val="0"/>
          <w:numId w:val="11"/>
        </w:numPr>
        <w:snapToGrid w:val="0"/>
        <w:spacing w:before="120" w:after="120" w:line="300" w:lineRule="atLeast"/>
        <w:contextualSpacing w:val="0"/>
        <w:rPr>
          <w:rFonts w:ascii="Arial" w:hAnsi="Arial" w:cs="Arial"/>
          <w:highlight w:val="yellow"/>
        </w:rPr>
      </w:pPr>
      <w:r w:rsidRPr="00056496">
        <w:rPr>
          <w:rFonts w:ascii="Arial" w:hAnsi="Arial" w:cs="Arial"/>
          <w:highlight w:val="yellow"/>
        </w:rPr>
        <w:t>The opinions of 1500 young people would represent the views of most young people worldwide.</w:t>
      </w:r>
    </w:p>
    <w:p w:rsidR="00FF29D6" w:rsidRDefault="00FF29D6" w:rsidP="00CF4B02">
      <w:pPr>
        <w:pStyle w:val="ListParagraph"/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</w:p>
    <w:p w:rsidR="00BF66BE" w:rsidRDefault="00FF29D6" w:rsidP="00CF4B02">
      <w:pPr>
        <w:pStyle w:val="ListParagraph"/>
        <w:numPr>
          <w:ilvl w:val="0"/>
          <w:numId w:val="7"/>
        </w:numPr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Would the Youthful Cities and list25 surveys be mostly subjective or objective? </w:t>
      </w:r>
    </w:p>
    <w:p w:rsidR="00FF29D6" w:rsidRPr="009E4C76" w:rsidRDefault="00FF29D6" w:rsidP="00CF4B02">
      <w:pPr>
        <w:pStyle w:val="ListParagraph"/>
        <w:numPr>
          <w:ilvl w:val="0"/>
          <w:numId w:val="11"/>
        </w:numPr>
        <w:snapToGrid w:val="0"/>
        <w:spacing w:before="120" w:after="120" w:line="300" w:lineRule="atLeast"/>
        <w:contextualSpacing w:val="0"/>
        <w:rPr>
          <w:rFonts w:ascii="Arial" w:hAnsi="Arial" w:cs="Arial"/>
          <w:highlight w:val="yellow"/>
        </w:rPr>
      </w:pPr>
      <w:r w:rsidRPr="009E4C76">
        <w:rPr>
          <w:rFonts w:ascii="Arial" w:hAnsi="Arial" w:cs="Arial"/>
          <w:highlight w:val="yellow"/>
        </w:rPr>
        <w:t>Subjective</w:t>
      </w:r>
    </w:p>
    <w:p w:rsidR="00FF29D6" w:rsidRDefault="00FF29D6" w:rsidP="00CF4B02">
      <w:pPr>
        <w:pStyle w:val="ListParagraph"/>
        <w:numPr>
          <w:ilvl w:val="0"/>
          <w:numId w:val="11"/>
        </w:numPr>
        <w:snapToGrid w:val="0"/>
        <w:spacing w:before="120" w:after="120" w:line="300" w:lineRule="atLeas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Objective</w:t>
      </w:r>
    </w:p>
    <w:p w:rsidR="00FF29D6" w:rsidRDefault="00FF29D6" w:rsidP="00EC3A47">
      <w:pPr>
        <w:snapToGrid w:val="0"/>
        <w:spacing w:before="240" w:after="0" w:line="300" w:lineRule="atLeast"/>
        <w:ind w:left="720"/>
        <w:rPr>
          <w:b/>
          <w:color w:val="FF0000"/>
        </w:rPr>
      </w:pPr>
      <w:r w:rsidRPr="00FF29D6">
        <w:rPr>
          <w:rFonts w:ascii="Arial" w:hAnsi="Arial" w:cs="Arial"/>
        </w:rPr>
        <w:t>Reason for response:</w:t>
      </w:r>
      <w:r w:rsidRPr="003729BA">
        <w:t xml:space="preserve"> </w:t>
      </w: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93244" w:rsidRPr="00565118" w:rsidTr="00E93244">
        <w:tc>
          <w:tcPr>
            <w:tcW w:w="8930" w:type="dxa"/>
            <w:tcBorders>
              <w:top w:val="nil"/>
            </w:tcBorders>
          </w:tcPr>
          <w:p w:rsidR="00E93244" w:rsidRPr="00565118" w:rsidRDefault="009E4C76" w:rsidP="00EC3A47">
            <w:pPr>
              <w:snapToGrid w:val="0"/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would be mostly subject</w:t>
            </w:r>
            <w:r w:rsidR="009D7E73">
              <w:rPr>
                <w:rFonts w:ascii="Arial" w:hAnsi="Arial" w:cs="Arial"/>
              </w:rPr>
              <w:t>ive because these surveys rely</w:t>
            </w:r>
            <w:r>
              <w:rPr>
                <w:rFonts w:ascii="Arial" w:hAnsi="Arial" w:cs="Arial"/>
              </w:rPr>
              <w:t xml:space="preserve"> on the perception of the 1500 people.</w:t>
            </w:r>
          </w:p>
        </w:tc>
      </w:tr>
      <w:tr w:rsidR="00E93244" w:rsidRPr="00565118" w:rsidTr="00E93244">
        <w:tc>
          <w:tcPr>
            <w:tcW w:w="8930" w:type="dxa"/>
          </w:tcPr>
          <w:p w:rsidR="00E93244" w:rsidRPr="00565118" w:rsidRDefault="00E93244" w:rsidP="005202B6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E93244" w:rsidRPr="00565118" w:rsidTr="00E93244">
        <w:tc>
          <w:tcPr>
            <w:tcW w:w="8930" w:type="dxa"/>
          </w:tcPr>
          <w:p w:rsidR="00E93244" w:rsidRPr="00565118" w:rsidRDefault="00E93244" w:rsidP="005202B6">
            <w:pPr>
              <w:snapToGrid w:val="0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</w:tbl>
    <w:p w:rsidR="00D52078" w:rsidRPr="00D52078" w:rsidRDefault="00D52078" w:rsidP="00200C11">
      <w:pPr>
        <w:snapToGrid w:val="0"/>
        <w:spacing w:after="0" w:line="240" w:lineRule="auto"/>
      </w:pPr>
    </w:p>
    <w:sectPr w:rsidR="00D52078" w:rsidRPr="00D52078" w:rsidSect="00CF4B02"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B2" w:rsidRDefault="00AF22B2" w:rsidP="00727670">
      <w:pPr>
        <w:spacing w:after="0" w:line="240" w:lineRule="auto"/>
      </w:pPr>
      <w:r>
        <w:separator/>
      </w:r>
    </w:p>
  </w:endnote>
  <w:endnote w:type="continuationSeparator" w:id="0">
    <w:p w:rsidR="00AF22B2" w:rsidRDefault="00AF22B2" w:rsidP="007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02" w:rsidRPr="00CE7A43" w:rsidRDefault="00CF4B02" w:rsidP="00CF4B02">
    <w:pPr>
      <w:tabs>
        <w:tab w:val="center" w:pos="4820"/>
        <w:tab w:val="right" w:pos="13892"/>
      </w:tabs>
      <w:spacing w:after="0" w:line="240" w:lineRule="auto"/>
      <w:rPr>
        <w:rFonts w:ascii="Arial" w:hAnsi="Arial" w:cs="Arial"/>
        <w:sz w:val="14"/>
        <w:szCs w:val="14"/>
      </w:rPr>
    </w:pPr>
    <w:r w:rsidRPr="00CE7A43">
      <w:rPr>
        <w:rFonts w:ascii="Arial" w:hAnsi="Arial" w:cs="Arial"/>
        <w:noProof/>
        <w:color w:val="A6A6A6"/>
        <w:sz w:val="14"/>
        <w:szCs w:val="14"/>
        <w:lang w:val="en-US" w:eastAsia="en-US"/>
      </w:rPr>
      <w:drawing>
        <wp:anchor distT="0" distB="0" distL="114300" distR="114300" simplePos="0" relativeHeight="251660288" behindDoc="0" locked="0" layoutInCell="1" allowOverlap="1" wp14:anchorId="1BDE2BE3" wp14:editId="354651FF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1943100" cy="241300"/>
          <wp:effectExtent l="0" t="0" r="0" b="6350"/>
          <wp:wrapNone/>
          <wp:docPr id="1" name="Picture 1" descr="Data:Coredata:DevArea:C2C:ePublishing:Templates:logos:DETE 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Coredata:DevArea:C2C:ePublishing:Templates:logos:DETE 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A43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65C475C2" wp14:editId="3CE67050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1587500" cy="279400"/>
          <wp:effectExtent l="0" t="0" r="0" b="6350"/>
          <wp:wrapNone/>
          <wp:docPr id="2" name="Picture 84" descr="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A43">
      <w:rPr>
        <w:rFonts w:ascii="Arial" w:hAnsi="Arial" w:cs="Arial"/>
        <w:sz w:val="14"/>
        <w:szCs w:val="14"/>
      </w:rPr>
      <w:fldChar w:fldCharType="begin"/>
    </w:r>
    <w:r w:rsidRPr="00CE7A43">
      <w:rPr>
        <w:rFonts w:ascii="Arial" w:hAnsi="Arial" w:cs="Arial"/>
        <w:sz w:val="14"/>
        <w:szCs w:val="14"/>
      </w:rPr>
      <w:instrText xml:space="preserve"> PAGE </w:instrText>
    </w:r>
    <w:r w:rsidRPr="00CE7A43">
      <w:rPr>
        <w:rFonts w:ascii="Arial" w:hAnsi="Arial" w:cs="Arial"/>
        <w:sz w:val="14"/>
        <w:szCs w:val="14"/>
      </w:rPr>
      <w:fldChar w:fldCharType="separate"/>
    </w:r>
    <w:r w:rsidR="009D7E73">
      <w:rPr>
        <w:rFonts w:ascii="Arial" w:hAnsi="Arial" w:cs="Arial"/>
        <w:noProof/>
        <w:sz w:val="14"/>
        <w:szCs w:val="14"/>
      </w:rPr>
      <w:t>1</w:t>
    </w:r>
    <w:r w:rsidRPr="00CE7A43">
      <w:rPr>
        <w:rFonts w:ascii="Arial" w:hAnsi="Arial" w:cs="Arial"/>
        <w:sz w:val="14"/>
        <w:szCs w:val="14"/>
      </w:rPr>
      <w:fldChar w:fldCharType="end"/>
    </w:r>
    <w:r w:rsidRPr="00CE7A43">
      <w:rPr>
        <w:rFonts w:ascii="Arial" w:hAnsi="Arial" w:cs="Arial"/>
        <w:sz w:val="14"/>
        <w:szCs w:val="14"/>
      </w:rPr>
      <w:t xml:space="preserve"> of </w:t>
    </w:r>
    <w:r w:rsidRPr="00CE7A43">
      <w:rPr>
        <w:rFonts w:ascii="Arial" w:hAnsi="Arial" w:cs="Arial"/>
        <w:sz w:val="14"/>
        <w:szCs w:val="14"/>
      </w:rPr>
      <w:fldChar w:fldCharType="begin"/>
    </w:r>
    <w:r w:rsidRPr="00CE7A43">
      <w:rPr>
        <w:rFonts w:ascii="Arial" w:hAnsi="Arial" w:cs="Arial"/>
        <w:sz w:val="14"/>
        <w:szCs w:val="14"/>
      </w:rPr>
      <w:instrText xml:space="preserve"> NUMPAGES </w:instrText>
    </w:r>
    <w:r w:rsidRPr="00CE7A43">
      <w:rPr>
        <w:rFonts w:ascii="Arial" w:hAnsi="Arial" w:cs="Arial"/>
        <w:sz w:val="14"/>
        <w:szCs w:val="14"/>
      </w:rPr>
      <w:fldChar w:fldCharType="separate"/>
    </w:r>
    <w:r w:rsidR="009D7E73">
      <w:rPr>
        <w:rFonts w:ascii="Arial" w:hAnsi="Arial" w:cs="Arial"/>
        <w:noProof/>
        <w:sz w:val="14"/>
        <w:szCs w:val="14"/>
      </w:rPr>
      <w:t>3</w:t>
    </w:r>
    <w:r w:rsidRPr="00CE7A43">
      <w:rPr>
        <w:rFonts w:ascii="Arial" w:hAnsi="Arial" w:cs="Arial"/>
        <w:sz w:val="14"/>
        <w:szCs w:val="14"/>
      </w:rPr>
      <w:fldChar w:fldCharType="end"/>
    </w:r>
    <w:r w:rsidRPr="00CE7A43">
      <w:rPr>
        <w:rFonts w:ascii="Arial" w:hAnsi="Arial" w:cs="Arial"/>
        <w:sz w:val="14"/>
        <w:szCs w:val="14"/>
      </w:rPr>
      <w:tab/>
    </w:r>
  </w:p>
  <w:p w:rsidR="00140D6C" w:rsidRPr="00CF4B02" w:rsidRDefault="00CF4B02" w:rsidP="00CF4B02">
    <w:pPr>
      <w:pStyle w:val="Footer"/>
      <w:rPr>
        <w:rFonts w:ascii="Arial" w:hAnsi="Arial" w:cs="Arial"/>
        <w:sz w:val="14"/>
        <w:szCs w:val="14"/>
      </w:rPr>
    </w:pPr>
    <w:r w:rsidRPr="00CF4B02">
      <w:rPr>
        <w:rFonts w:ascii="Arial" w:eastAsia="Cambria" w:hAnsi="Arial" w:cs="Arial"/>
        <w:color w:val="808080"/>
        <w:sz w:val="14"/>
        <w:lang w:eastAsia="en-US"/>
      </w:rPr>
      <w:t>Geo_Y07_U2_SH_LiveabilityYoungPeople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B2" w:rsidRDefault="00AF22B2" w:rsidP="00727670">
      <w:pPr>
        <w:spacing w:after="0" w:line="240" w:lineRule="auto"/>
      </w:pPr>
      <w:r>
        <w:separator/>
      </w:r>
    </w:p>
  </w:footnote>
  <w:footnote w:type="continuationSeparator" w:id="0">
    <w:p w:rsidR="00AF22B2" w:rsidRDefault="00AF22B2" w:rsidP="0072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6CB"/>
    <w:multiLevelType w:val="hybridMultilevel"/>
    <w:tmpl w:val="708892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B23EC"/>
    <w:multiLevelType w:val="hybridMultilevel"/>
    <w:tmpl w:val="8E20F56A"/>
    <w:lvl w:ilvl="0" w:tplc="7B2A6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9DA"/>
    <w:multiLevelType w:val="hybridMultilevel"/>
    <w:tmpl w:val="13340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1420"/>
    <w:multiLevelType w:val="hybridMultilevel"/>
    <w:tmpl w:val="7EBC7A28"/>
    <w:lvl w:ilvl="0" w:tplc="F92E2720">
      <w:numFmt w:val="bullet"/>
      <w:lvlText w:val="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D67B00"/>
    <w:multiLevelType w:val="hybridMultilevel"/>
    <w:tmpl w:val="DDF48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4CA8"/>
    <w:multiLevelType w:val="hybridMultilevel"/>
    <w:tmpl w:val="492A2E34"/>
    <w:lvl w:ilvl="0" w:tplc="B45A7C68">
      <w:numFmt w:val="bullet"/>
      <w:lvlText w:val="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22C13"/>
    <w:multiLevelType w:val="hybridMultilevel"/>
    <w:tmpl w:val="D402F6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FC7B5C"/>
    <w:multiLevelType w:val="hybridMultilevel"/>
    <w:tmpl w:val="6332FF82"/>
    <w:lvl w:ilvl="0" w:tplc="7E6A3C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F6207"/>
    <w:multiLevelType w:val="hybridMultilevel"/>
    <w:tmpl w:val="F1501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B2927"/>
    <w:multiLevelType w:val="hybridMultilevel"/>
    <w:tmpl w:val="EC0C1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5A7"/>
    <w:multiLevelType w:val="hybridMultilevel"/>
    <w:tmpl w:val="557E4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1C"/>
    <w:rsid w:val="00056496"/>
    <w:rsid w:val="000731B6"/>
    <w:rsid w:val="000748A1"/>
    <w:rsid w:val="0007705F"/>
    <w:rsid w:val="000B0CC3"/>
    <w:rsid w:val="000B7EB9"/>
    <w:rsid w:val="000C13AF"/>
    <w:rsid w:val="000D1EA7"/>
    <w:rsid w:val="000E1449"/>
    <w:rsid w:val="000E5693"/>
    <w:rsid w:val="00127313"/>
    <w:rsid w:val="00127C1D"/>
    <w:rsid w:val="00140D6C"/>
    <w:rsid w:val="001A7D0B"/>
    <w:rsid w:val="001B6830"/>
    <w:rsid w:val="001D666B"/>
    <w:rsid w:val="00200C11"/>
    <w:rsid w:val="00204C1E"/>
    <w:rsid w:val="00210F8C"/>
    <w:rsid w:val="002C2F47"/>
    <w:rsid w:val="002D1F88"/>
    <w:rsid w:val="00390A8F"/>
    <w:rsid w:val="003D2294"/>
    <w:rsid w:val="003E1EE3"/>
    <w:rsid w:val="004402C6"/>
    <w:rsid w:val="00457A01"/>
    <w:rsid w:val="004B7AA9"/>
    <w:rsid w:val="004E67C7"/>
    <w:rsid w:val="004F745D"/>
    <w:rsid w:val="0053761E"/>
    <w:rsid w:val="00565081"/>
    <w:rsid w:val="0059671D"/>
    <w:rsid w:val="005C4FE2"/>
    <w:rsid w:val="0065300D"/>
    <w:rsid w:val="00692478"/>
    <w:rsid w:val="006E08A9"/>
    <w:rsid w:val="006F6C70"/>
    <w:rsid w:val="00727670"/>
    <w:rsid w:val="00731663"/>
    <w:rsid w:val="007B0B6A"/>
    <w:rsid w:val="007B6DDE"/>
    <w:rsid w:val="007D5DEB"/>
    <w:rsid w:val="007E10E2"/>
    <w:rsid w:val="008360E4"/>
    <w:rsid w:val="00852DB3"/>
    <w:rsid w:val="00855B1A"/>
    <w:rsid w:val="00893930"/>
    <w:rsid w:val="008A6220"/>
    <w:rsid w:val="0090654D"/>
    <w:rsid w:val="00926C1C"/>
    <w:rsid w:val="009D7E73"/>
    <w:rsid w:val="009E4C76"/>
    <w:rsid w:val="00AC027C"/>
    <w:rsid w:val="00AF22B2"/>
    <w:rsid w:val="00B358EE"/>
    <w:rsid w:val="00B53D5D"/>
    <w:rsid w:val="00B65F36"/>
    <w:rsid w:val="00BF66BE"/>
    <w:rsid w:val="00C9425A"/>
    <w:rsid w:val="00CA73F9"/>
    <w:rsid w:val="00CD4465"/>
    <w:rsid w:val="00CE44A0"/>
    <w:rsid w:val="00CF4B02"/>
    <w:rsid w:val="00D52078"/>
    <w:rsid w:val="00D52379"/>
    <w:rsid w:val="00D55B02"/>
    <w:rsid w:val="00D93E8C"/>
    <w:rsid w:val="00DF3273"/>
    <w:rsid w:val="00E627C0"/>
    <w:rsid w:val="00E70630"/>
    <w:rsid w:val="00E93244"/>
    <w:rsid w:val="00EA5254"/>
    <w:rsid w:val="00EC3A47"/>
    <w:rsid w:val="00F069E1"/>
    <w:rsid w:val="00F33B62"/>
    <w:rsid w:val="00FC5776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C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C1C"/>
    <w:rPr>
      <w:color w:val="800080" w:themeColor="followedHyperlink"/>
      <w:u w:val="single"/>
    </w:rPr>
  </w:style>
  <w:style w:type="paragraph" w:styleId="ListParagraph">
    <w:name w:val="List Paragraph"/>
    <w:aliases w:val="Numbered Bullet"/>
    <w:basedOn w:val="Normal"/>
    <w:uiPriority w:val="34"/>
    <w:qFormat/>
    <w:rsid w:val="0059671D"/>
    <w:pPr>
      <w:ind w:left="720"/>
      <w:contextualSpacing/>
    </w:pPr>
  </w:style>
  <w:style w:type="table" w:styleId="TableGrid">
    <w:name w:val="Table Grid"/>
    <w:basedOn w:val="TableNormal"/>
    <w:uiPriority w:val="59"/>
    <w:rsid w:val="0059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7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7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0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C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C1C"/>
    <w:rPr>
      <w:color w:val="800080" w:themeColor="followedHyperlink"/>
      <w:u w:val="single"/>
    </w:rPr>
  </w:style>
  <w:style w:type="paragraph" w:styleId="ListParagraph">
    <w:name w:val="List Paragraph"/>
    <w:aliases w:val="Numbered Bullet"/>
    <w:basedOn w:val="Normal"/>
    <w:uiPriority w:val="34"/>
    <w:qFormat/>
    <w:rsid w:val="0059671D"/>
    <w:pPr>
      <w:ind w:left="720"/>
      <w:contextualSpacing/>
    </w:pPr>
  </w:style>
  <w:style w:type="table" w:styleId="TableGrid">
    <w:name w:val="Table Grid"/>
    <w:basedOn w:val="TableNormal"/>
    <w:uiPriority w:val="59"/>
    <w:rsid w:val="0059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7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7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0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88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7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4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2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08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23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0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85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61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13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4AD8-CE36-48C5-A5C5-C85952F5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Susanna</dc:creator>
  <cp:lastModifiedBy>Dell</cp:lastModifiedBy>
  <cp:revision>5</cp:revision>
  <cp:lastPrinted>2014-09-09T05:27:00Z</cp:lastPrinted>
  <dcterms:created xsi:type="dcterms:W3CDTF">2017-03-31T03:46:00Z</dcterms:created>
  <dcterms:modified xsi:type="dcterms:W3CDTF">2017-03-31T13:51:00Z</dcterms:modified>
</cp:coreProperties>
</file>